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CE5A5" w14:textId="77777777" w:rsidR="009A30FA" w:rsidRDefault="009A30FA">
      <w:pPr>
        <w:pStyle w:val="BodyText"/>
        <w:jc w:val="center"/>
        <w:rPr>
          <w:b/>
          <w:sz w:val="28"/>
        </w:rPr>
      </w:pPr>
      <w:r>
        <w:rPr>
          <w:b/>
          <w:sz w:val="28"/>
        </w:rPr>
        <w:t xml:space="preserve">Implied Forward Rates </w:t>
      </w:r>
    </w:p>
    <w:p w14:paraId="1512A490" w14:textId="77777777" w:rsidR="009A30FA" w:rsidRDefault="009A30FA">
      <w:pPr>
        <w:pStyle w:val="BodyText"/>
      </w:pPr>
    </w:p>
    <w:p w14:paraId="073FF5F1" w14:textId="77777777" w:rsidR="009A30FA" w:rsidRDefault="009A30FA">
      <w:pPr>
        <w:pStyle w:val="BodyText"/>
      </w:pPr>
      <w:r>
        <w:t>6-mo T-bill Yield = 5.0%</w:t>
      </w:r>
    </w:p>
    <w:p w14:paraId="3BCAD8EC" w14:textId="77777777" w:rsidR="009A30FA" w:rsidRDefault="009A30FA">
      <w:pPr>
        <w:pStyle w:val="BodyText"/>
      </w:pPr>
      <w:r>
        <w:t>1-yr T-bill Yield = 5.2%</w:t>
      </w:r>
    </w:p>
    <w:p w14:paraId="6FF09C50" w14:textId="77777777" w:rsidR="009A30FA" w:rsidRDefault="009A30FA">
      <w:pPr>
        <w:pStyle w:val="BodyText"/>
      </w:pPr>
      <w:r>
        <w:t xml:space="preserve">These are </w:t>
      </w:r>
      <w:r w:rsidR="00E52609">
        <w:t>current Bond Equivalent Yield</w:t>
      </w:r>
      <w:r>
        <w:t xml:space="preserve"> </w:t>
      </w:r>
      <w:r w:rsidR="00E52609">
        <w:t>quotes.</w:t>
      </w:r>
    </w:p>
    <w:p w14:paraId="7CA9AD4F" w14:textId="77777777" w:rsidR="009A30FA" w:rsidRDefault="009A30FA">
      <w:pPr>
        <w:pStyle w:val="BodyText"/>
      </w:pPr>
      <w:r>
        <w:t>The semiannual yield</w:t>
      </w:r>
      <w:r w:rsidR="00E52609">
        <w:t>s are 2.5% and 2.6% (BEY</w:t>
      </w:r>
      <w:r>
        <w:t>/2)</w:t>
      </w:r>
    </w:p>
    <w:p w14:paraId="146AA078" w14:textId="77777777" w:rsidR="009A30FA" w:rsidRDefault="009A30FA">
      <w:pPr>
        <w:pStyle w:val="BodyText"/>
      </w:pPr>
    </w:p>
    <w:p w14:paraId="599ADD4E" w14:textId="77777777" w:rsidR="009A30FA" w:rsidRDefault="009A30FA">
      <w:pPr>
        <w:pStyle w:val="BodyText"/>
      </w:pPr>
      <w:r>
        <w:t>If you have funds to invest for one year, which is the bet</w:t>
      </w:r>
      <w:r w:rsidR="00E52609">
        <w:t>ter way to go:</w:t>
      </w:r>
      <w:r>
        <w:t xml:space="preserve"> buy the 1-yr T-bill or buy the 6mo T-bill and reinvest in</w:t>
      </w:r>
      <w:r w:rsidR="00E52609">
        <w:t xml:space="preserve"> another 6-month T-bill in</w:t>
      </w:r>
      <w:r>
        <w:t xml:space="preserve"> 6 months?</w:t>
      </w:r>
    </w:p>
    <w:p w14:paraId="2528DEA4" w14:textId="77777777" w:rsidR="00E52609" w:rsidRDefault="00E52609">
      <w:pPr>
        <w:pStyle w:val="BodyText"/>
      </w:pPr>
    </w:p>
    <w:p w14:paraId="2BF2033C" w14:textId="77777777" w:rsidR="00E52609" w:rsidRDefault="00E52609">
      <w:pPr>
        <w:pStyle w:val="BodyText"/>
      </w:pPr>
      <w:r>
        <w:t>The choice should be determined by your expectation of where interest rates will be in six months. To make the best choice, you need to understand how to calculate implied forward rates.</w:t>
      </w:r>
    </w:p>
    <w:p w14:paraId="7E72DD79" w14:textId="77777777" w:rsidR="009A30FA" w:rsidRDefault="009A30FA">
      <w:pPr>
        <w:pStyle w:val="BodyText"/>
      </w:pPr>
    </w:p>
    <w:p w14:paraId="17A77281" w14:textId="77777777" w:rsidR="009A30FA" w:rsidRDefault="009A30FA">
      <w:pPr>
        <w:pStyle w:val="BodyText"/>
      </w:pPr>
      <w:r>
        <w:t>What is the implied forward rate for a 6-mo T-bill 6mo from now?</w:t>
      </w:r>
    </w:p>
    <w:p w14:paraId="0DE088F9" w14:textId="77777777" w:rsidR="009A30FA" w:rsidRDefault="009A30FA">
      <w:pPr>
        <w:pStyle w:val="BodyText"/>
      </w:pPr>
    </w:p>
    <w:p w14:paraId="79F35E38" w14:textId="77777777" w:rsidR="009A30FA" w:rsidRDefault="009A30FA">
      <w:pPr>
        <w:pStyle w:val="BodyText"/>
      </w:pPr>
      <w:r>
        <w:t>z</w:t>
      </w:r>
      <w:r>
        <w:rPr>
          <w:vertAlign w:val="subscript"/>
        </w:rPr>
        <w:t>1</w:t>
      </w:r>
      <w:r>
        <w:t xml:space="preserve"> = 6-mo zero-coupon spot rate</w:t>
      </w:r>
    </w:p>
    <w:p w14:paraId="0872792B" w14:textId="77777777" w:rsidR="009A30FA" w:rsidRDefault="009A30FA">
      <w:pPr>
        <w:pStyle w:val="BodyText"/>
      </w:pPr>
      <w:r>
        <w:t>z</w:t>
      </w:r>
      <w:r>
        <w:rPr>
          <w:vertAlign w:val="subscript"/>
        </w:rPr>
        <w:t>2</w:t>
      </w:r>
      <w:r>
        <w:t xml:space="preserve"> = 1-yr zero-coupon spot rate</w:t>
      </w:r>
    </w:p>
    <w:p w14:paraId="2A9F0C9D" w14:textId="77777777" w:rsidR="009A30FA" w:rsidRDefault="009A30FA">
      <w:pPr>
        <w:pStyle w:val="BodyText"/>
      </w:pPr>
    </w:p>
    <w:p w14:paraId="32B39A09" w14:textId="77777777" w:rsidR="009A30FA" w:rsidRDefault="009A30FA">
      <w:pPr>
        <w:pStyle w:val="BodyText"/>
      </w:pPr>
      <w:r>
        <w:t>Implied forward rate is the rate that gives you the same return at the end of the year no matter if you choose the 1yr T-bill or the 6mo T-bill and roll it over.</w:t>
      </w:r>
    </w:p>
    <w:p w14:paraId="2F290B2F" w14:textId="77777777" w:rsidR="009A30FA" w:rsidRDefault="009A30FA">
      <w:pPr>
        <w:pStyle w:val="BodyText"/>
      </w:pPr>
    </w:p>
    <w:p w14:paraId="549EE197" w14:textId="77777777" w:rsidR="009A30FA" w:rsidRDefault="009A30FA">
      <w:pPr>
        <w:pStyle w:val="BodyText"/>
      </w:pPr>
      <w:r>
        <w:t>Invest $100 in the 1-yr T-bill:  FV = PV (1+</w:t>
      </w:r>
      <w:proofErr w:type="gramStart"/>
      <w:r>
        <w:t>r)</w:t>
      </w:r>
      <w:r>
        <w:rPr>
          <w:vertAlign w:val="superscript"/>
        </w:rPr>
        <w:t>t</w:t>
      </w:r>
      <w:proofErr w:type="gramEnd"/>
    </w:p>
    <w:p w14:paraId="6E413DB0" w14:textId="77777777" w:rsidR="009A30FA" w:rsidRDefault="009A30FA">
      <w:pPr>
        <w:pStyle w:val="BodyText"/>
      </w:pPr>
      <w:r>
        <w:t xml:space="preserve">                                                        = 100 (1.026)</w:t>
      </w:r>
      <w:r>
        <w:rPr>
          <w:vertAlign w:val="superscript"/>
        </w:rPr>
        <w:t>2</w:t>
      </w:r>
      <w:r>
        <w:t xml:space="preserve"> = 105.27</w:t>
      </w:r>
    </w:p>
    <w:p w14:paraId="57E86EFD" w14:textId="77777777" w:rsidR="009A30FA" w:rsidRDefault="009A30FA">
      <w:pPr>
        <w:pStyle w:val="BodyText"/>
      </w:pPr>
    </w:p>
    <w:p w14:paraId="0AF6C90A" w14:textId="77777777" w:rsidR="009A30FA" w:rsidRDefault="009A30FA">
      <w:pPr>
        <w:pStyle w:val="BodyText"/>
      </w:pPr>
      <w:r>
        <w:t xml:space="preserve">Invest $100 in 6-mo T-bill:  FV = 100 (1.025) (1 + </w:t>
      </w:r>
      <w:r>
        <w:rPr>
          <w:vertAlign w:val="subscript"/>
        </w:rPr>
        <w:t>1</w:t>
      </w:r>
      <w:r>
        <w:t>f</w:t>
      </w:r>
      <w:r>
        <w:rPr>
          <w:vertAlign w:val="subscript"/>
        </w:rPr>
        <w:t>2</w:t>
      </w:r>
      <w:r>
        <w:t>) = 105.27</w:t>
      </w:r>
    </w:p>
    <w:p w14:paraId="388B320A" w14:textId="77777777" w:rsidR="009A30FA" w:rsidRDefault="009A30FA">
      <w:pPr>
        <w:pStyle w:val="BodyText"/>
      </w:pPr>
    </w:p>
    <w:p w14:paraId="4F0B8652" w14:textId="77777777" w:rsidR="009A30FA" w:rsidRDefault="009A30FA">
      <w:pPr>
        <w:pStyle w:val="BodyText"/>
      </w:pPr>
      <w:r>
        <w:t xml:space="preserve">Note: </w:t>
      </w:r>
      <w:r>
        <w:rPr>
          <w:vertAlign w:val="subscript"/>
        </w:rPr>
        <w:t>1</w:t>
      </w:r>
      <w:r>
        <w:t>f</w:t>
      </w:r>
      <w:r>
        <w:rPr>
          <w:vertAlign w:val="subscript"/>
        </w:rPr>
        <w:t>2</w:t>
      </w:r>
      <w:r>
        <w:t xml:space="preserve"> is my notation for the forward rate beginning in time 1 and ending in time 2.</w:t>
      </w:r>
    </w:p>
    <w:p w14:paraId="082CC5B8" w14:textId="77777777" w:rsidR="009A30FA" w:rsidRDefault="009A30FA">
      <w:pPr>
        <w:pStyle w:val="BodyText"/>
      </w:pPr>
    </w:p>
    <w:p w14:paraId="38A9D3B9" w14:textId="77777777" w:rsidR="009A30FA" w:rsidRDefault="009A30FA">
      <w:pPr>
        <w:pStyle w:val="BodyText"/>
      </w:pPr>
      <w:r>
        <w:t xml:space="preserve">The question: What 6-mo rate will take you from $102.5 at 6 months to $105.27 at one year? This rate makes the two paths </w:t>
      </w:r>
      <w:proofErr w:type="gramStart"/>
      <w:r>
        <w:t>equivalent, and</w:t>
      </w:r>
      <w:proofErr w:type="gramEnd"/>
      <w:r>
        <w:t xml:space="preserve"> makes us indifferent between the two bonds.</w:t>
      </w:r>
    </w:p>
    <w:p w14:paraId="662C3CAB" w14:textId="77777777" w:rsidR="009A30FA" w:rsidRDefault="009A30FA">
      <w:pPr>
        <w:pStyle w:val="BodyText"/>
      </w:pPr>
    </w:p>
    <w:p w14:paraId="4A204B81" w14:textId="77777777" w:rsidR="009A30FA" w:rsidRDefault="009A30FA">
      <w:pPr>
        <w:pStyle w:val="BodyText"/>
      </w:pPr>
      <w:r>
        <w:t>Substituting and canceling:</w:t>
      </w:r>
    </w:p>
    <w:p w14:paraId="53FD7678" w14:textId="77777777" w:rsidR="009A30FA" w:rsidRDefault="009A30FA">
      <w:pPr>
        <w:pStyle w:val="BodyText"/>
      </w:pPr>
    </w:p>
    <w:p w14:paraId="3DB6B4EF" w14:textId="77777777" w:rsidR="009A30FA" w:rsidRDefault="009A30FA">
      <w:pPr>
        <w:pStyle w:val="BodyText"/>
      </w:pPr>
      <w:r>
        <w:t>(1.026)</w:t>
      </w:r>
      <w:r>
        <w:rPr>
          <w:vertAlign w:val="superscript"/>
        </w:rPr>
        <w:t>2</w:t>
      </w:r>
      <w:r>
        <w:t xml:space="preserve"> = (1.025) (1 + </w:t>
      </w:r>
      <w:r>
        <w:rPr>
          <w:vertAlign w:val="subscript"/>
        </w:rPr>
        <w:t>1</w:t>
      </w:r>
      <w:r>
        <w:t>f</w:t>
      </w:r>
      <w:r>
        <w:rPr>
          <w:vertAlign w:val="subscript"/>
        </w:rPr>
        <w:t>2</w:t>
      </w:r>
      <w:r>
        <w:t>)</w:t>
      </w:r>
    </w:p>
    <w:p w14:paraId="2547F869" w14:textId="77777777" w:rsidR="009A30FA" w:rsidRDefault="009A30FA">
      <w:pPr>
        <w:pStyle w:val="BodyText"/>
      </w:pPr>
    </w:p>
    <w:p w14:paraId="5511A7D7" w14:textId="77777777" w:rsidR="009A30FA" w:rsidRDefault="009A30FA">
      <w:pPr>
        <w:pStyle w:val="BodyText"/>
      </w:pPr>
      <w:r>
        <w:t xml:space="preserve">(1 + </w:t>
      </w:r>
      <w:r>
        <w:rPr>
          <w:vertAlign w:val="subscript"/>
        </w:rPr>
        <w:t>1</w:t>
      </w:r>
      <w:r>
        <w:t>f</w:t>
      </w:r>
      <w:r>
        <w:rPr>
          <w:vertAlign w:val="subscript"/>
        </w:rPr>
        <w:t>2</w:t>
      </w:r>
      <w:proofErr w:type="gramStart"/>
      <w:r>
        <w:t>)  =</w:t>
      </w:r>
      <w:proofErr w:type="gramEnd"/>
      <w:r>
        <w:t xml:space="preserve">  </w:t>
      </w:r>
      <w:r>
        <w:rPr>
          <w:u w:val="single"/>
        </w:rPr>
        <w:t>(1.026)</w:t>
      </w:r>
      <w:r>
        <w:rPr>
          <w:u w:val="single"/>
          <w:vertAlign w:val="superscript"/>
        </w:rPr>
        <w:t>2</w:t>
      </w:r>
      <w:r>
        <w:t xml:space="preserve">  =  1.027  </w:t>
      </w:r>
      <w:r>
        <w:rPr>
          <w:szCs w:val="24"/>
        </w:rPr>
        <w:sym w:font="Symbol" w:char="F0DE"/>
      </w:r>
      <w:r>
        <w:t xml:space="preserve">  </w:t>
      </w:r>
      <w:r>
        <w:rPr>
          <w:vertAlign w:val="subscript"/>
        </w:rPr>
        <w:t>1</w:t>
      </w:r>
      <w:r>
        <w:t>f</w:t>
      </w:r>
      <w:r>
        <w:rPr>
          <w:vertAlign w:val="subscript"/>
        </w:rPr>
        <w:t>2</w:t>
      </w:r>
      <w:r>
        <w:t xml:space="preserve"> = .027001 = 2.7001% </w:t>
      </w:r>
      <w:r>
        <w:rPr>
          <w:szCs w:val="24"/>
        </w:rPr>
        <w:sym w:font="Symbol" w:char="F0DE"/>
      </w:r>
      <w:r>
        <w:t xml:space="preserve"> 5.4002% = B.E.Y.</w:t>
      </w:r>
    </w:p>
    <w:p w14:paraId="2160B8D3" w14:textId="77777777" w:rsidR="009A30FA" w:rsidRDefault="009A30FA">
      <w:pPr>
        <w:pStyle w:val="BodyText"/>
      </w:pPr>
      <w:r>
        <w:t xml:space="preserve">                   (1.025)</w:t>
      </w:r>
    </w:p>
    <w:p w14:paraId="169F48B4" w14:textId="77777777" w:rsidR="00E52609" w:rsidRDefault="00E52609">
      <w:pPr>
        <w:pStyle w:val="BodyText"/>
      </w:pPr>
    </w:p>
    <w:p w14:paraId="77B4D0E4" w14:textId="77777777" w:rsidR="009A30FA" w:rsidRDefault="00D35C0A">
      <w:pPr>
        <w:pStyle w:val="BodyText"/>
      </w:pPr>
      <w:r>
        <w:t>This is the</w:t>
      </w:r>
      <w:r w:rsidR="009A30FA">
        <w:t xml:space="preserve"> implied </w:t>
      </w:r>
      <w:r>
        <w:t>yield</w:t>
      </w:r>
      <w:r w:rsidR="009A30FA">
        <w:t xml:space="preserve"> on a 6mo T-bill in 6months.</w:t>
      </w:r>
    </w:p>
    <w:p w14:paraId="6EBEC12C" w14:textId="77777777" w:rsidR="00E52609" w:rsidRDefault="00E52609">
      <w:pPr>
        <w:pStyle w:val="BodyText"/>
      </w:pPr>
    </w:p>
    <w:p w14:paraId="2705A90D" w14:textId="77777777" w:rsidR="009A30FA" w:rsidRDefault="009A30FA">
      <w:pPr>
        <w:pStyle w:val="BodyText"/>
      </w:pPr>
      <w:r>
        <w:t xml:space="preserve">If we are indifferent between the two investments, it’s because we expect the 6-mo </w:t>
      </w:r>
      <w:proofErr w:type="gramStart"/>
      <w:r>
        <w:t>rate</w:t>
      </w:r>
      <w:proofErr w:type="gramEnd"/>
    </w:p>
    <w:p w14:paraId="1F331923" w14:textId="77777777" w:rsidR="009A30FA" w:rsidRDefault="009A30FA">
      <w:pPr>
        <w:pStyle w:val="BodyText"/>
      </w:pPr>
      <w:r>
        <w:t xml:space="preserve">6-mo from now to be 5.4%. It is the </w:t>
      </w:r>
      <w:r w:rsidRPr="00897A43">
        <w:rPr>
          <w:b/>
        </w:rPr>
        <w:t>Implied Forward Rate</w:t>
      </w:r>
      <w:r>
        <w:t>.</w:t>
      </w:r>
      <w:r w:rsidR="00E52609">
        <w:t xml:space="preserve"> </w:t>
      </w:r>
    </w:p>
    <w:p w14:paraId="06581D26" w14:textId="77777777" w:rsidR="00E52609" w:rsidRDefault="00E52609">
      <w:pPr>
        <w:pStyle w:val="BodyText"/>
      </w:pPr>
    </w:p>
    <w:p w14:paraId="7D62EE94" w14:textId="77777777" w:rsidR="009A30FA" w:rsidRDefault="006636D5">
      <w:pPr>
        <w:pStyle w:val="BodyText"/>
      </w:pPr>
      <w:r>
        <w:t>The same principle</w:t>
      </w:r>
      <w:r w:rsidR="009A30FA">
        <w:t xml:space="preserve"> can be used to get any implied forward rate</w:t>
      </w:r>
      <w:r w:rsidR="00D35C0A">
        <w:t xml:space="preserve"> </w:t>
      </w:r>
      <w:r w:rsidR="009A30FA">
        <w:t>The general formula is:</w:t>
      </w:r>
    </w:p>
    <w:p w14:paraId="5767914F" w14:textId="77777777" w:rsidR="009A30FA" w:rsidRDefault="009A30FA">
      <w:pPr>
        <w:pStyle w:val="BodyText"/>
      </w:pPr>
    </w:p>
    <w:p w14:paraId="3B3E731E" w14:textId="77777777" w:rsidR="009A30FA" w:rsidRDefault="009A30FA">
      <w:pPr>
        <w:pStyle w:val="BodyText"/>
      </w:pPr>
      <w:r>
        <w:t xml:space="preserve">1 + </w:t>
      </w:r>
      <w:r>
        <w:rPr>
          <w:vertAlign w:val="subscript"/>
        </w:rPr>
        <w:t>1</w:t>
      </w:r>
      <w:r>
        <w:t>f</w:t>
      </w:r>
      <w:proofErr w:type="gramStart"/>
      <w:r>
        <w:rPr>
          <w:vertAlign w:val="subscript"/>
        </w:rPr>
        <w:t>2</w:t>
      </w:r>
      <w:r>
        <w:t xml:space="preserve">  =</w:t>
      </w:r>
      <w:proofErr w:type="gramEnd"/>
      <w:r>
        <w:t xml:space="preserve">  </w:t>
      </w:r>
      <w:r>
        <w:rPr>
          <w:u w:val="single"/>
        </w:rPr>
        <w:t>(1 + z</w:t>
      </w:r>
      <w:r>
        <w:rPr>
          <w:u w:val="single"/>
          <w:vertAlign w:val="subscript"/>
        </w:rPr>
        <w:t>2</w:t>
      </w:r>
      <w:r>
        <w:rPr>
          <w:u w:val="single"/>
        </w:rPr>
        <w:t>)</w:t>
      </w:r>
      <w:r>
        <w:rPr>
          <w:u w:val="single"/>
          <w:vertAlign w:val="superscript"/>
        </w:rPr>
        <w:t>2</w:t>
      </w:r>
      <w:r>
        <w:t xml:space="preserve">  </w:t>
      </w:r>
    </w:p>
    <w:p w14:paraId="65D3238F" w14:textId="77777777" w:rsidR="00D35C0A" w:rsidRDefault="009A30FA">
      <w:pPr>
        <w:pStyle w:val="BodyText"/>
      </w:pPr>
      <w:r>
        <w:t xml:space="preserve">                (1 + z</w:t>
      </w:r>
      <w:r>
        <w:rPr>
          <w:vertAlign w:val="subscript"/>
        </w:rPr>
        <w:t>1</w:t>
      </w:r>
      <w:r>
        <w:t>)</w:t>
      </w:r>
    </w:p>
    <w:p w14:paraId="700800BC" w14:textId="77777777" w:rsidR="009A30FA" w:rsidRDefault="009A30FA">
      <w:pPr>
        <w:pStyle w:val="BodyText"/>
      </w:pPr>
      <w:r>
        <w:t>where z</w:t>
      </w:r>
      <w:r>
        <w:rPr>
          <w:vertAlign w:val="subscript"/>
        </w:rPr>
        <w:t>1</w:t>
      </w:r>
      <w:r>
        <w:t xml:space="preserve"> and z</w:t>
      </w:r>
      <w:r>
        <w:rPr>
          <w:vertAlign w:val="subscript"/>
        </w:rPr>
        <w:t>2</w:t>
      </w:r>
      <w:r>
        <w:t xml:space="preserve"> are spot (zero) interest rates.</w:t>
      </w:r>
    </w:p>
    <w:p w14:paraId="7E1119B0" w14:textId="77777777" w:rsidR="00E52609" w:rsidRDefault="00E52609">
      <w:pPr>
        <w:pStyle w:val="BodyText"/>
      </w:pPr>
    </w:p>
    <w:p w14:paraId="71137CA1" w14:textId="77777777" w:rsidR="00E52609" w:rsidRDefault="009A30FA">
      <w:pPr>
        <w:pStyle w:val="BodyText"/>
      </w:pPr>
      <w:r>
        <w:t xml:space="preserve">Suppose we have the following observable </w:t>
      </w:r>
      <w:r w:rsidR="00533780">
        <w:t xml:space="preserve">zero-coupon </w:t>
      </w:r>
      <w:r>
        <w:t>interest rates:</w:t>
      </w:r>
    </w:p>
    <w:p w14:paraId="13A12AE5" w14:textId="77777777" w:rsidR="009A30FA" w:rsidRDefault="009A30FA">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9A30FA" w:rsidRPr="00B611E9" w14:paraId="6ABD218C" w14:textId="77777777" w:rsidTr="00B611E9">
        <w:tc>
          <w:tcPr>
            <w:tcW w:w="2952" w:type="dxa"/>
          </w:tcPr>
          <w:p w14:paraId="28F75727" w14:textId="77777777" w:rsidR="009A30FA" w:rsidRPr="00B611E9" w:rsidRDefault="009A30FA" w:rsidP="00B611E9">
            <w:pPr>
              <w:pStyle w:val="BodyText"/>
              <w:jc w:val="center"/>
              <w:rPr>
                <w:b/>
              </w:rPr>
            </w:pPr>
            <w:r w:rsidRPr="00B611E9">
              <w:rPr>
                <w:b/>
              </w:rPr>
              <w:t>Maturity</w:t>
            </w:r>
          </w:p>
        </w:tc>
        <w:tc>
          <w:tcPr>
            <w:tcW w:w="2952" w:type="dxa"/>
          </w:tcPr>
          <w:p w14:paraId="33D74358" w14:textId="77777777" w:rsidR="009A30FA" w:rsidRPr="00B611E9" w:rsidRDefault="009A30FA" w:rsidP="00B611E9">
            <w:pPr>
              <w:pStyle w:val="BodyText"/>
              <w:jc w:val="center"/>
              <w:rPr>
                <w:b/>
              </w:rPr>
            </w:pPr>
            <w:r w:rsidRPr="00B611E9">
              <w:rPr>
                <w:b/>
              </w:rPr>
              <w:t xml:space="preserve">YTM </w:t>
            </w:r>
          </w:p>
        </w:tc>
        <w:tc>
          <w:tcPr>
            <w:tcW w:w="2952" w:type="dxa"/>
          </w:tcPr>
          <w:p w14:paraId="643F4814" w14:textId="77777777" w:rsidR="009A30FA" w:rsidRPr="00B611E9" w:rsidRDefault="009A30FA" w:rsidP="00B611E9">
            <w:pPr>
              <w:pStyle w:val="BodyText"/>
              <w:jc w:val="center"/>
              <w:rPr>
                <w:b/>
              </w:rPr>
            </w:pPr>
            <w:r w:rsidRPr="00B611E9">
              <w:rPr>
                <w:b/>
              </w:rPr>
              <w:t>Semi-annual Yield</w:t>
            </w:r>
          </w:p>
        </w:tc>
      </w:tr>
      <w:tr w:rsidR="009A30FA" w14:paraId="3F061942" w14:textId="77777777" w:rsidTr="00B611E9">
        <w:tc>
          <w:tcPr>
            <w:tcW w:w="2952" w:type="dxa"/>
          </w:tcPr>
          <w:p w14:paraId="74BCE27B" w14:textId="77777777" w:rsidR="009A30FA" w:rsidRDefault="009A30FA" w:rsidP="00B611E9">
            <w:pPr>
              <w:pStyle w:val="BodyText"/>
              <w:jc w:val="center"/>
            </w:pPr>
            <w:r>
              <w:t>6 months</w:t>
            </w:r>
          </w:p>
        </w:tc>
        <w:tc>
          <w:tcPr>
            <w:tcW w:w="2952" w:type="dxa"/>
          </w:tcPr>
          <w:p w14:paraId="0D4974BC" w14:textId="77777777" w:rsidR="009A30FA" w:rsidRDefault="009A30FA" w:rsidP="00B611E9">
            <w:pPr>
              <w:pStyle w:val="BodyText"/>
              <w:jc w:val="center"/>
            </w:pPr>
            <w:r>
              <w:t>2.00%</w:t>
            </w:r>
          </w:p>
        </w:tc>
        <w:tc>
          <w:tcPr>
            <w:tcW w:w="2952" w:type="dxa"/>
          </w:tcPr>
          <w:p w14:paraId="56100113" w14:textId="77777777" w:rsidR="009A30FA" w:rsidRDefault="009A30FA" w:rsidP="00B611E9">
            <w:pPr>
              <w:pStyle w:val="BodyText"/>
              <w:jc w:val="center"/>
            </w:pPr>
            <w:r>
              <w:t>1.00%</w:t>
            </w:r>
          </w:p>
        </w:tc>
      </w:tr>
      <w:tr w:rsidR="009A30FA" w14:paraId="752772C0" w14:textId="77777777" w:rsidTr="00B611E9">
        <w:tc>
          <w:tcPr>
            <w:tcW w:w="2952" w:type="dxa"/>
          </w:tcPr>
          <w:p w14:paraId="6803CD45" w14:textId="77777777" w:rsidR="009A30FA" w:rsidRDefault="009A30FA" w:rsidP="00B611E9">
            <w:pPr>
              <w:pStyle w:val="BodyText"/>
              <w:jc w:val="center"/>
            </w:pPr>
            <w:r>
              <w:t>1 year</w:t>
            </w:r>
          </w:p>
        </w:tc>
        <w:tc>
          <w:tcPr>
            <w:tcW w:w="2952" w:type="dxa"/>
          </w:tcPr>
          <w:p w14:paraId="74E6B72A" w14:textId="77777777" w:rsidR="009A30FA" w:rsidRDefault="009A30FA" w:rsidP="00B611E9">
            <w:pPr>
              <w:pStyle w:val="BodyText"/>
              <w:jc w:val="center"/>
            </w:pPr>
            <w:r>
              <w:t>2.50%</w:t>
            </w:r>
          </w:p>
        </w:tc>
        <w:tc>
          <w:tcPr>
            <w:tcW w:w="2952" w:type="dxa"/>
          </w:tcPr>
          <w:p w14:paraId="520DC410" w14:textId="77777777" w:rsidR="009A30FA" w:rsidRDefault="009A30FA" w:rsidP="00B611E9">
            <w:pPr>
              <w:pStyle w:val="BodyText"/>
              <w:jc w:val="center"/>
            </w:pPr>
            <w:r>
              <w:t>1.25%</w:t>
            </w:r>
          </w:p>
        </w:tc>
      </w:tr>
      <w:tr w:rsidR="009A30FA" w14:paraId="2274A665" w14:textId="77777777" w:rsidTr="00B611E9">
        <w:tc>
          <w:tcPr>
            <w:tcW w:w="2952" w:type="dxa"/>
          </w:tcPr>
          <w:p w14:paraId="056A20E5" w14:textId="77777777" w:rsidR="009A30FA" w:rsidRDefault="009A30FA" w:rsidP="00B611E9">
            <w:pPr>
              <w:pStyle w:val="BodyText"/>
              <w:jc w:val="center"/>
            </w:pPr>
            <w:r>
              <w:t>18 months</w:t>
            </w:r>
          </w:p>
        </w:tc>
        <w:tc>
          <w:tcPr>
            <w:tcW w:w="2952" w:type="dxa"/>
          </w:tcPr>
          <w:p w14:paraId="537CAF75" w14:textId="77777777" w:rsidR="009A30FA" w:rsidRDefault="009A30FA" w:rsidP="00B611E9">
            <w:pPr>
              <w:pStyle w:val="BodyText"/>
              <w:jc w:val="center"/>
            </w:pPr>
            <w:r>
              <w:t>3.20%</w:t>
            </w:r>
          </w:p>
        </w:tc>
        <w:tc>
          <w:tcPr>
            <w:tcW w:w="2952" w:type="dxa"/>
          </w:tcPr>
          <w:p w14:paraId="7163F32B" w14:textId="77777777" w:rsidR="009A30FA" w:rsidRDefault="009A30FA" w:rsidP="00B611E9">
            <w:pPr>
              <w:pStyle w:val="BodyText"/>
              <w:jc w:val="center"/>
            </w:pPr>
            <w:r>
              <w:t>1.60%</w:t>
            </w:r>
          </w:p>
        </w:tc>
      </w:tr>
      <w:tr w:rsidR="009A30FA" w14:paraId="28997364" w14:textId="77777777" w:rsidTr="00B611E9">
        <w:tc>
          <w:tcPr>
            <w:tcW w:w="2952" w:type="dxa"/>
          </w:tcPr>
          <w:p w14:paraId="70202836" w14:textId="77777777" w:rsidR="009A30FA" w:rsidRDefault="009A30FA" w:rsidP="00B611E9">
            <w:pPr>
              <w:pStyle w:val="BodyText"/>
              <w:jc w:val="center"/>
            </w:pPr>
            <w:r>
              <w:t>2 years</w:t>
            </w:r>
          </w:p>
        </w:tc>
        <w:tc>
          <w:tcPr>
            <w:tcW w:w="2952" w:type="dxa"/>
          </w:tcPr>
          <w:p w14:paraId="1CB39050" w14:textId="77777777" w:rsidR="009A30FA" w:rsidRDefault="009A30FA" w:rsidP="00B611E9">
            <w:pPr>
              <w:pStyle w:val="BodyText"/>
              <w:jc w:val="center"/>
            </w:pPr>
            <w:r>
              <w:t>4.00%</w:t>
            </w:r>
          </w:p>
        </w:tc>
        <w:tc>
          <w:tcPr>
            <w:tcW w:w="2952" w:type="dxa"/>
          </w:tcPr>
          <w:p w14:paraId="2FB407BC" w14:textId="77777777" w:rsidR="009A30FA" w:rsidRDefault="009A30FA" w:rsidP="00B611E9">
            <w:pPr>
              <w:pStyle w:val="BodyText"/>
              <w:jc w:val="center"/>
            </w:pPr>
            <w:r>
              <w:t>2.00%</w:t>
            </w:r>
          </w:p>
        </w:tc>
      </w:tr>
      <w:tr w:rsidR="009A30FA" w14:paraId="458AE3C8" w14:textId="77777777" w:rsidTr="00B611E9">
        <w:tc>
          <w:tcPr>
            <w:tcW w:w="2952" w:type="dxa"/>
          </w:tcPr>
          <w:p w14:paraId="21EC90BB" w14:textId="77777777" w:rsidR="009A30FA" w:rsidRDefault="009A30FA" w:rsidP="00B611E9">
            <w:pPr>
              <w:pStyle w:val="BodyText"/>
              <w:jc w:val="center"/>
            </w:pPr>
            <w:r>
              <w:t>2.5 years</w:t>
            </w:r>
          </w:p>
        </w:tc>
        <w:tc>
          <w:tcPr>
            <w:tcW w:w="2952" w:type="dxa"/>
          </w:tcPr>
          <w:p w14:paraId="0B7921C4" w14:textId="77777777" w:rsidR="009A30FA" w:rsidRDefault="009A30FA" w:rsidP="00B611E9">
            <w:pPr>
              <w:pStyle w:val="BodyText"/>
              <w:jc w:val="center"/>
            </w:pPr>
            <w:r>
              <w:t>4.10%</w:t>
            </w:r>
          </w:p>
        </w:tc>
        <w:tc>
          <w:tcPr>
            <w:tcW w:w="2952" w:type="dxa"/>
          </w:tcPr>
          <w:p w14:paraId="411108C9" w14:textId="77777777" w:rsidR="009A30FA" w:rsidRDefault="009A30FA" w:rsidP="00B611E9">
            <w:pPr>
              <w:pStyle w:val="BodyText"/>
              <w:jc w:val="center"/>
            </w:pPr>
            <w:r>
              <w:t>2.05%</w:t>
            </w:r>
          </w:p>
        </w:tc>
      </w:tr>
    </w:tbl>
    <w:p w14:paraId="7C51448C" w14:textId="77777777" w:rsidR="009A30FA" w:rsidRDefault="009A30FA">
      <w:pPr>
        <w:pStyle w:val="BodyText"/>
      </w:pPr>
    </w:p>
    <w:p w14:paraId="54BFA758" w14:textId="77777777" w:rsidR="009A30FA" w:rsidRDefault="009A30FA">
      <w:pPr>
        <w:pStyle w:val="BodyText"/>
      </w:pPr>
      <w:r>
        <w:t>We can calculate the implied 6-mo forward rates.</w:t>
      </w:r>
    </w:p>
    <w:p w14:paraId="5783B7CE" w14:textId="77777777" w:rsidR="009A30FA" w:rsidRDefault="009A30FA">
      <w:pPr>
        <w:pStyle w:val="BodyText"/>
      </w:pPr>
      <w:r>
        <w:t xml:space="preserve">First calculate </w:t>
      </w:r>
      <w:r>
        <w:rPr>
          <w:vertAlign w:val="subscript"/>
        </w:rPr>
        <w:t>1</w:t>
      </w:r>
      <w:r>
        <w:t>f</w:t>
      </w:r>
      <w:r>
        <w:rPr>
          <w:vertAlign w:val="subscript"/>
        </w:rPr>
        <w:t>2</w:t>
      </w:r>
      <w:r>
        <w:t>: The implied 6-mo forward rate 6 months from now</w:t>
      </w:r>
    </w:p>
    <w:p w14:paraId="732F35B2" w14:textId="77777777" w:rsidR="009A30FA" w:rsidRDefault="009A30FA">
      <w:pPr>
        <w:pStyle w:val="BodyText"/>
      </w:pPr>
      <w:r>
        <w:t xml:space="preserve"> (1.0125)</w:t>
      </w:r>
      <w:proofErr w:type="gramStart"/>
      <w:r>
        <w:rPr>
          <w:vertAlign w:val="superscript"/>
        </w:rPr>
        <w:t>2</w:t>
      </w:r>
      <w:r>
        <w:t xml:space="preserve">  =</w:t>
      </w:r>
      <w:proofErr w:type="gramEnd"/>
      <w:r>
        <w:t xml:space="preserve"> (1.01) (1+</w:t>
      </w:r>
      <w:r>
        <w:rPr>
          <w:vertAlign w:val="subscript"/>
        </w:rPr>
        <w:t>1</w:t>
      </w:r>
      <w:r>
        <w:t>f</w:t>
      </w:r>
      <w:r>
        <w:rPr>
          <w:vertAlign w:val="subscript"/>
        </w:rPr>
        <w:t>2</w:t>
      </w:r>
      <w:r>
        <w:t xml:space="preserve">) </w:t>
      </w:r>
      <w:r>
        <w:rPr>
          <w:szCs w:val="24"/>
        </w:rPr>
        <w:sym w:font="Symbol" w:char="F0DE"/>
      </w:r>
      <w:r>
        <w:t xml:space="preserve"> </w:t>
      </w:r>
      <w:r>
        <w:rPr>
          <w:vertAlign w:val="subscript"/>
        </w:rPr>
        <w:t>1</w:t>
      </w:r>
      <w:r>
        <w:t>f</w:t>
      </w:r>
      <w:r>
        <w:rPr>
          <w:vertAlign w:val="subscript"/>
        </w:rPr>
        <w:t>2</w:t>
      </w:r>
      <w:r>
        <w:t xml:space="preserve"> = .015006  </w:t>
      </w:r>
      <w:r>
        <w:rPr>
          <w:szCs w:val="24"/>
        </w:rPr>
        <w:sym w:font="Symbol" w:char="F0DE"/>
      </w:r>
      <w:r>
        <w:t xml:space="preserve">  BEY = 3.0012%</w:t>
      </w:r>
    </w:p>
    <w:p w14:paraId="752BE206" w14:textId="77777777" w:rsidR="009A30FA" w:rsidRDefault="009A30FA">
      <w:pPr>
        <w:pStyle w:val="BodyText"/>
      </w:pPr>
    </w:p>
    <w:p w14:paraId="2F8B03D4" w14:textId="77777777" w:rsidR="009A30FA" w:rsidRDefault="009A30FA">
      <w:pPr>
        <w:pStyle w:val="BodyText"/>
      </w:pPr>
      <w:r>
        <w:t xml:space="preserve">Next let’s look at </w:t>
      </w:r>
      <w:r>
        <w:rPr>
          <w:vertAlign w:val="subscript"/>
        </w:rPr>
        <w:t>2</w:t>
      </w:r>
      <w:r>
        <w:t>f</w:t>
      </w:r>
      <w:r>
        <w:rPr>
          <w:vertAlign w:val="subscript"/>
        </w:rPr>
        <w:t>3</w:t>
      </w:r>
      <w:r>
        <w:t xml:space="preserve"> which is the 6-mo forward rate 1 year from now.</w:t>
      </w:r>
    </w:p>
    <w:p w14:paraId="031EBB67" w14:textId="73DB4F8B" w:rsidR="009A30FA" w:rsidRDefault="009A30FA">
      <w:pPr>
        <w:pStyle w:val="BodyText"/>
      </w:pPr>
      <w:r>
        <w:t>(1.016)</w:t>
      </w:r>
      <w:r>
        <w:rPr>
          <w:vertAlign w:val="superscript"/>
        </w:rPr>
        <w:t>3</w:t>
      </w:r>
      <w:r>
        <w:t xml:space="preserve"> = (1.01) (1.015006) (1+</w:t>
      </w:r>
      <w:r>
        <w:rPr>
          <w:vertAlign w:val="subscript"/>
        </w:rPr>
        <w:t>2</w:t>
      </w:r>
      <w:r>
        <w:t>f</w:t>
      </w:r>
      <w:r>
        <w:rPr>
          <w:vertAlign w:val="subscript"/>
        </w:rPr>
        <w:t>3</w:t>
      </w:r>
      <w:r>
        <w:t xml:space="preserve">) </w:t>
      </w:r>
      <w:r>
        <w:rPr>
          <w:szCs w:val="24"/>
        </w:rPr>
        <w:sym w:font="Symbol" w:char="F0DE"/>
      </w:r>
      <w:r>
        <w:t xml:space="preserve">  </w:t>
      </w:r>
      <w:r>
        <w:rPr>
          <w:vertAlign w:val="subscript"/>
        </w:rPr>
        <w:t>2</w:t>
      </w:r>
      <w:r>
        <w:t>f</w:t>
      </w:r>
      <w:r>
        <w:rPr>
          <w:vertAlign w:val="subscript"/>
        </w:rPr>
        <w:t>3</w:t>
      </w:r>
      <w:r>
        <w:t xml:space="preserve"> = .02304  </w:t>
      </w:r>
      <w:r>
        <w:rPr>
          <w:szCs w:val="24"/>
        </w:rPr>
        <w:sym w:font="Symbol" w:char="F0DE"/>
      </w:r>
      <w:r>
        <w:t xml:space="preserve">  BEY = 4.60</w:t>
      </w:r>
      <w:r w:rsidR="00AE5354">
        <w:t>73</w:t>
      </w:r>
      <w:r>
        <w:t>%</w:t>
      </w:r>
    </w:p>
    <w:p w14:paraId="4D081AA9" w14:textId="77777777" w:rsidR="009A30FA" w:rsidRDefault="009A30FA">
      <w:pPr>
        <w:pStyle w:val="BodyText"/>
      </w:pPr>
    </w:p>
    <w:p w14:paraId="4AF3A0BC" w14:textId="77777777" w:rsidR="009A30FA" w:rsidRDefault="009A30FA">
      <w:pPr>
        <w:pStyle w:val="BodyText"/>
      </w:pPr>
      <w:r>
        <w:t xml:space="preserve">Now look at </w:t>
      </w:r>
      <w:r>
        <w:rPr>
          <w:vertAlign w:val="subscript"/>
        </w:rPr>
        <w:t>3</w:t>
      </w:r>
      <w:r>
        <w:t>f</w:t>
      </w:r>
      <w:r>
        <w:rPr>
          <w:vertAlign w:val="subscript"/>
        </w:rPr>
        <w:t>4</w:t>
      </w:r>
      <w:r>
        <w:t xml:space="preserve"> which is the 6-mo forward rate 1½ </w:t>
      </w:r>
      <w:proofErr w:type="spellStart"/>
      <w:r>
        <w:t>yrs</w:t>
      </w:r>
      <w:proofErr w:type="spellEnd"/>
      <w:r>
        <w:t xml:space="preserve"> from now.</w:t>
      </w:r>
    </w:p>
    <w:p w14:paraId="7F6A26E2" w14:textId="77777777" w:rsidR="009A30FA" w:rsidRDefault="009A30FA">
      <w:pPr>
        <w:pStyle w:val="BodyText"/>
      </w:pPr>
      <w:r>
        <w:t>(1.02)</w:t>
      </w:r>
      <w:r>
        <w:rPr>
          <w:vertAlign w:val="superscript"/>
        </w:rPr>
        <w:t>4</w:t>
      </w:r>
      <w:r>
        <w:t xml:space="preserve"> = (1.01) (1.015006) (1.02304) (1+</w:t>
      </w:r>
      <w:r>
        <w:rPr>
          <w:vertAlign w:val="subscript"/>
        </w:rPr>
        <w:t>3</w:t>
      </w:r>
      <w:r>
        <w:t>f</w:t>
      </w:r>
      <w:r>
        <w:rPr>
          <w:vertAlign w:val="subscript"/>
        </w:rPr>
        <w:t>4</w:t>
      </w:r>
      <w:r>
        <w:t xml:space="preserve">) </w:t>
      </w:r>
      <w:r>
        <w:rPr>
          <w:szCs w:val="24"/>
        </w:rPr>
        <w:sym w:font="Symbol" w:char="F0DE"/>
      </w:r>
      <w:r>
        <w:t xml:space="preserve">  </w:t>
      </w:r>
      <w:r>
        <w:rPr>
          <w:vertAlign w:val="subscript"/>
        </w:rPr>
        <w:t>3</w:t>
      </w:r>
      <w:r>
        <w:t>f</w:t>
      </w:r>
      <w:r>
        <w:rPr>
          <w:vertAlign w:val="subscript"/>
        </w:rPr>
        <w:t>4</w:t>
      </w:r>
      <w:r>
        <w:t xml:space="preserve">= .0321 </w:t>
      </w:r>
      <w:r>
        <w:rPr>
          <w:szCs w:val="24"/>
        </w:rPr>
        <w:sym w:font="Symbol" w:char="F0DE"/>
      </w:r>
      <w:r>
        <w:t xml:space="preserve"> BEY = 6.42%</w:t>
      </w:r>
    </w:p>
    <w:p w14:paraId="26629D18" w14:textId="77777777" w:rsidR="009A30FA" w:rsidRDefault="009A30FA">
      <w:pPr>
        <w:pStyle w:val="BodyText"/>
      </w:pPr>
    </w:p>
    <w:p w14:paraId="30317843" w14:textId="77777777" w:rsidR="009A30FA" w:rsidRDefault="009A30FA">
      <w:pPr>
        <w:pStyle w:val="BodyText"/>
      </w:pPr>
      <w:r>
        <w:rPr>
          <w:u w:val="single"/>
        </w:rPr>
        <w:t>or</w:t>
      </w:r>
      <w:r>
        <w:t xml:space="preserve"> you can do it this way:</w:t>
      </w:r>
    </w:p>
    <w:p w14:paraId="74DF744F" w14:textId="77777777" w:rsidR="009A30FA" w:rsidRDefault="009A30FA">
      <w:pPr>
        <w:pStyle w:val="BodyText"/>
      </w:pPr>
      <w:r>
        <w:t>(1.02)</w:t>
      </w:r>
      <w:r>
        <w:rPr>
          <w:vertAlign w:val="superscript"/>
        </w:rPr>
        <w:t>4</w:t>
      </w:r>
      <w:r>
        <w:t xml:space="preserve"> = (1.016)</w:t>
      </w:r>
      <w:r>
        <w:rPr>
          <w:vertAlign w:val="superscript"/>
        </w:rPr>
        <w:t>3</w:t>
      </w:r>
      <w:r>
        <w:t xml:space="preserve"> (1+</w:t>
      </w:r>
      <w:r>
        <w:rPr>
          <w:vertAlign w:val="subscript"/>
        </w:rPr>
        <w:t>3</w:t>
      </w:r>
      <w:r>
        <w:t>f</w:t>
      </w:r>
      <w:r>
        <w:rPr>
          <w:vertAlign w:val="subscript"/>
        </w:rPr>
        <w:t>4</w:t>
      </w:r>
      <w:r>
        <w:t xml:space="preserve">) </w:t>
      </w:r>
      <w:r>
        <w:rPr>
          <w:szCs w:val="24"/>
        </w:rPr>
        <w:sym w:font="Symbol" w:char="F0DE"/>
      </w:r>
      <w:r>
        <w:t xml:space="preserve"> </w:t>
      </w:r>
      <w:r>
        <w:rPr>
          <w:vertAlign w:val="subscript"/>
        </w:rPr>
        <w:t>3</w:t>
      </w:r>
      <w:r>
        <w:t>f</w:t>
      </w:r>
      <w:r>
        <w:rPr>
          <w:vertAlign w:val="subscript"/>
        </w:rPr>
        <w:t>4</w:t>
      </w:r>
      <w:r>
        <w:t xml:space="preserve"> = .0321 </w:t>
      </w:r>
      <w:r>
        <w:rPr>
          <w:szCs w:val="24"/>
        </w:rPr>
        <w:sym w:font="Symbol" w:char="F0DE"/>
      </w:r>
      <w:r>
        <w:t xml:space="preserve">  BEY = 6.42%</w:t>
      </w:r>
    </w:p>
    <w:p w14:paraId="3B7DEFF6" w14:textId="77777777" w:rsidR="009A30FA" w:rsidRDefault="009A30FA">
      <w:pPr>
        <w:pStyle w:val="BodyText"/>
      </w:pPr>
    </w:p>
    <w:p w14:paraId="696B948B" w14:textId="77777777" w:rsidR="009A30FA" w:rsidRDefault="009A30FA">
      <w:pPr>
        <w:pStyle w:val="BodyText"/>
      </w:pPr>
      <w:r>
        <w:t>We could go on and get all the remaining implied 6-mo forward rates. We could also figure out an implied 1-yr, 2-yr or any other time-period implied forward rates.</w:t>
      </w:r>
    </w:p>
    <w:p w14:paraId="5F2E9314" w14:textId="77777777" w:rsidR="009A30FA" w:rsidRDefault="009A30FA">
      <w:pPr>
        <w:pStyle w:val="BodyText"/>
      </w:pPr>
    </w:p>
    <w:p w14:paraId="18CD4667" w14:textId="77777777" w:rsidR="009A30FA" w:rsidRDefault="009A30FA">
      <w:pPr>
        <w:pStyle w:val="BodyText"/>
      </w:pPr>
      <w:r>
        <w:t xml:space="preserve">Suppose you want to find the implied forward one-year rate one year from </w:t>
      </w:r>
      <w:proofErr w:type="gramStart"/>
      <w:r>
        <w:t>now</w:t>
      </w:r>
      <w:proofErr w:type="gramEnd"/>
    </w:p>
    <w:p w14:paraId="1612929F" w14:textId="77777777" w:rsidR="009A30FA" w:rsidRDefault="009A30FA">
      <w:pPr>
        <w:pStyle w:val="BodyText"/>
      </w:pPr>
    </w:p>
    <w:p w14:paraId="618F8FE3" w14:textId="4A3A74B5" w:rsidR="009A30FA" w:rsidRDefault="009A30FA" w:rsidP="00B611E9">
      <w:pPr>
        <w:pStyle w:val="BodyText"/>
      </w:pPr>
      <w:r>
        <w:t>(1.02)</w:t>
      </w:r>
      <w:r>
        <w:rPr>
          <w:vertAlign w:val="superscript"/>
        </w:rPr>
        <w:t>4</w:t>
      </w:r>
      <w:r>
        <w:t xml:space="preserve"> = (1.0125)</w:t>
      </w:r>
      <w:r>
        <w:rPr>
          <w:vertAlign w:val="superscript"/>
        </w:rPr>
        <w:t>2</w:t>
      </w:r>
      <w:r>
        <w:t xml:space="preserve"> (1+</w:t>
      </w:r>
      <w:r>
        <w:rPr>
          <w:vertAlign w:val="subscript"/>
        </w:rPr>
        <w:t>2</w:t>
      </w:r>
      <w:r>
        <w:t>f</w:t>
      </w:r>
      <w:r>
        <w:rPr>
          <w:vertAlign w:val="subscript"/>
        </w:rPr>
        <w:t>4</w:t>
      </w:r>
      <w:r>
        <w:t>)</w:t>
      </w:r>
      <w:r>
        <w:rPr>
          <w:vertAlign w:val="superscript"/>
        </w:rPr>
        <w:t>2</w:t>
      </w:r>
      <w:r>
        <w:t xml:space="preserve"> </w:t>
      </w:r>
      <w:r>
        <w:rPr>
          <w:szCs w:val="24"/>
        </w:rPr>
        <w:sym w:font="Symbol" w:char="F0DE"/>
      </w:r>
      <w:r>
        <w:t xml:space="preserve"> </w:t>
      </w:r>
      <w:r>
        <w:rPr>
          <w:vertAlign w:val="subscript"/>
        </w:rPr>
        <w:t>2</w:t>
      </w:r>
      <w:r>
        <w:t>f</w:t>
      </w:r>
      <w:r>
        <w:rPr>
          <w:vertAlign w:val="subscript"/>
        </w:rPr>
        <w:t>4</w:t>
      </w:r>
      <w:r>
        <w:t xml:space="preserve"> = .0276 </w:t>
      </w:r>
      <w:r>
        <w:rPr>
          <w:szCs w:val="24"/>
        </w:rPr>
        <w:sym w:font="Symbol" w:char="F0DE"/>
      </w:r>
      <w:r>
        <w:t xml:space="preserve">  BEY = 5.5</w:t>
      </w:r>
      <w:r w:rsidR="00AE5354">
        <w:t>1</w:t>
      </w:r>
      <w:r>
        <w:t>%</w:t>
      </w:r>
    </w:p>
    <w:p w14:paraId="5B8FE529" w14:textId="77777777" w:rsidR="009A30FA" w:rsidRDefault="009A30FA">
      <w:pPr>
        <w:pStyle w:val="BodyText"/>
      </w:pPr>
    </w:p>
    <w:p w14:paraId="3A572CBD" w14:textId="77777777" w:rsidR="009A30FA" w:rsidRDefault="009A30FA">
      <w:pPr>
        <w:pStyle w:val="BodyText"/>
      </w:pPr>
    </w:p>
    <w:p w14:paraId="3D5C1624" w14:textId="77777777" w:rsidR="009A30FA" w:rsidRDefault="009A30FA">
      <w:pPr>
        <w:pStyle w:val="BodyText"/>
      </w:pPr>
      <w:r>
        <w:t>The general formula is:</w:t>
      </w:r>
    </w:p>
    <w:p w14:paraId="10CA47DC" w14:textId="77777777" w:rsidR="009A30FA" w:rsidRDefault="009A30FA">
      <w:pPr>
        <w:pStyle w:val="BodyText"/>
      </w:pPr>
      <w:r>
        <w:t>(1+</w:t>
      </w:r>
      <w:proofErr w:type="gramStart"/>
      <w:r>
        <w:t>z</w:t>
      </w:r>
      <w:r>
        <w:rPr>
          <w:vertAlign w:val="subscript"/>
        </w:rPr>
        <w:t>t</w:t>
      </w:r>
      <w:r>
        <w:t>)</w:t>
      </w:r>
      <w:r>
        <w:rPr>
          <w:vertAlign w:val="superscript"/>
        </w:rPr>
        <w:t>t</w:t>
      </w:r>
      <w:proofErr w:type="gramEnd"/>
      <w:r>
        <w:t xml:space="preserve"> = (1+z</w:t>
      </w:r>
      <w:r>
        <w:rPr>
          <w:vertAlign w:val="subscript"/>
        </w:rPr>
        <w:t>1</w:t>
      </w:r>
      <w:r>
        <w:t>) (1+</w:t>
      </w:r>
      <w:r>
        <w:rPr>
          <w:vertAlign w:val="subscript"/>
        </w:rPr>
        <w:t>1</w:t>
      </w:r>
      <w:r>
        <w:t>f</w:t>
      </w:r>
      <w:r>
        <w:rPr>
          <w:vertAlign w:val="subscript"/>
        </w:rPr>
        <w:t>2</w:t>
      </w:r>
      <w:r>
        <w:t>) (1+</w:t>
      </w:r>
      <w:r>
        <w:rPr>
          <w:vertAlign w:val="subscript"/>
        </w:rPr>
        <w:t>2</w:t>
      </w:r>
      <w:r>
        <w:t>f</w:t>
      </w:r>
      <w:r>
        <w:rPr>
          <w:vertAlign w:val="subscript"/>
        </w:rPr>
        <w:t>3</w:t>
      </w:r>
      <w:r>
        <w:t>) (1+</w:t>
      </w:r>
      <w:r>
        <w:rPr>
          <w:vertAlign w:val="subscript"/>
        </w:rPr>
        <w:t>3</w:t>
      </w:r>
      <w:r>
        <w:t>f</w:t>
      </w:r>
      <w:r>
        <w:rPr>
          <w:vertAlign w:val="subscript"/>
        </w:rPr>
        <w:t>4</w:t>
      </w:r>
      <w:r>
        <w:t>) … (1+</w:t>
      </w:r>
      <w:r>
        <w:rPr>
          <w:vertAlign w:val="subscript"/>
        </w:rPr>
        <w:t>t-1</w:t>
      </w:r>
      <w:r>
        <w:t>f</w:t>
      </w:r>
      <w:r>
        <w:rPr>
          <w:vertAlign w:val="subscript"/>
        </w:rPr>
        <w:t>t</w:t>
      </w:r>
      <w:r>
        <w:t>)</w:t>
      </w:r>
    </w:p>
    <w:p w14:paraId="3B338229" w14:textId="77777777" w:rsidR="009A30FA" w:rsidRDefault="009A30FA">
      <w:pPr>
        <w:pStyle w:val="BodyText"/>
      </w:pPr>
      <w:r>
        <w:t xml:space="preserve">           = (1+z</w:t>
      </w:r>
      <w:r>
        <w:rPr>
          <w:vertAlign w:val="subscript"/>
        </w:rPr>
        <w:t>t-</w:t>
      </w:r>
      <w:proofErr w:type="gramStart"/>
      <w:r>
        <w:rPr>
          <w:vertAlign w:val="subscript"/>
        </w:rPr>
        <w:t>1</w:t>
      </w:r>
      <w:r>
        <w:t>)</w:t>
      </w:r>
      <w:r>
        <w:rPr>
          <w:vertAlign w:val="superscript"/>
        </w:rPr>
        <w:t>t</w:t>
      </w:r>
      <w:proofErr w:type="gramEnd"/>
      <w:r>
        <w:rPr>
          <w:vertAlign w:val="superscript"/>
        </w:rPr>
        <w:t>-1</w:t>
      </w:r>
      <w:r>
        <w:t xml:space="preserve"> (1+</w:t>
      </w:r>
      <w:r>
        <w:rPr>
          <w:vertAlign w:val="subscript"/>
        </w:rPr>
        <w:t>t-1</w:t>
      </w:r>
      <w:r>
        <w:t>f</w:t>
      </w:r>
      <w:r>
        <w:rPr>
          <w:vertAlign w:val="subscript"/>
        </w:rPr>
        <w:t>t</w:t>
      </w:r>
      <w:r>
        <w:t>)</w:t>
      </w:r>
    </w:p>
    <w:p w14:paraId="4215446C" w14:textId="77777777" w:rsidR="009A30FA" w:rsidRDefault="009A30FA">
      <w:pPr>
        <w:pStyle w:val="BodyText"/>
      </w:pPr>
    </w:p>
    <w:p w14:paraId="44EEC1CB" w14:textId="77777777" w:rsidR="009A30FA" w:rsidRDefault="009A30FA">
      <w:pPr>
        <w:pStyle w:val="BodyText"/>
      </w:pPr>
    </w:p>
    <w:p w14:paraId="168D6B6E" w14:textId="77777777" w:rsidR="009A30FA" w:rsidRDefault="009A30FA">
      <w:pPr>
        <w:pStyle w:val="BodyText"/>
      </w:pPr>
      <w:r>
        <w:t xml:space="preserve">Note that this is the </w:t>
      </w:r>
      <w:r w:rsidRPr="00E52609">
        <w:rPr>
          <w:b/>
        </w:rPr>
        <w:t>implied</w:t>
      </w:r>
      <w:r>
        <w:t xml:space="preserve"> forward rate. It is not the same thing as a forward rate. Forward rates are actual tradable derivative contracts. They are the rates that traders </w:t>
      </w:r>
      <w:proofErr w:type="gramStart"/>
      <w:r>
        <w:t>are able to</w:t>
      </w:r>
      <w:proofErr w:type="gramEnd"/>
      <w:r>
        <w:t xml:space="preserve"> </w:t>
      </w:r>
      <w:proofErr w:type="gramStart"/>
      <w:r>
        <w:t>lock-in</w:t>
      </w:r>
      <w:proofErr w:type="gramEnd"/>
      <w:r>
        <w:t xml:space="preserve"> with other traders. These rates are entirely hypothetical – yet they are very important for investment decisions.</w:t>
      </w:r>
    </w:p>
    <w:p w14:paraId="4A5F16E7" w14:textId="77777777" w:rsidR="009A30FA" w:rsidRDefault="009A30FA">
      <w:pPr>
        <w:pStyle w:val="BodyText"/>
      </w:pPr>
    </w:p>
    <w:p w14:paraId="3CFE81BF" w14:textId="77777777" w:rsidR="009A30FA" w:rsidRDefault="009A30FA">
      <w:pPr>
        <w:pStyle w:val="BodyText"/>
      </w:pPr>
      <w:r>
        <w:t>The implied forward rate will help you determine whether you should buy a long-term bond or a short-term bond (and roll-over the proceeds). The answer depends on your personal expectation of future rates vs. the implied forward rate.</w:t>
      </w:r>
    </w:p>
    <w:p w14:paraId="0AC45076" w14:textId="77777777" w:rsidR="009A30FA" w:rsidRDefault="009A30FA">
      <w:pPr>
        <w:pStyle w:val="BodyText"/>
      </w:pPr>
    </w:p>
    <w:p w14:paraId="284F6AB4" w14:textId="77777777" w:rsidR="009A30FA" w:rsidRDefault="009A30FA">
      <w:pPr>
        <w:pStyle w:val="BodyText"/>
      </w:pPr>
      <w:r>
        <w:t xml:space="preserve">If implied forward rate is &lt; your prediction, buy short-term and roll </w:t>
      </w:r>
      <w:proofErr w:type="gramStart"/>
      <w:r>
        <w:t>over</w:t>
      </w:r>
      <w:proofErr w:type="gramEnd"/>
    </w:p>
    <w:p w14:paraId="09BD38D6" w14:textId="77777777" w:rsidR="009A30FA" w:rsidRDefault="009A30FA">
      <w:pPr>
        <w:pStyle w:val="BodyText"/>
      </w:pPr>
      <w:r>
        <w:t>If implied forward rate is &gt; your prediction, buy long-term and hold.</w:t>
      </w:r>
    </w:p>
    <w:p w14:paraId="3B3A1B1F" w14:textId="77777777" w:rsidR="009A30FA" w:rsidRDefault="009A30FA">
      <w:pPr>
        <w:pStyle w:val="BodyText"/>
      </w:pPr>
    </w:p>
    <w:p w14:paraId="3F2F42A3" w14:textId="77777777" w:rsidR="009A30FA" w:rsidRDefault="009A30FA">
      <w:pPr>
        <w:pStyle w:val="BodyText"/>
      </w:pPr>
      <w:r>
        <w:t xml:space="preserve">Implied forward rates are </w:t>
      </w:r>
      <w:r w:rsidR="00D35C0A">
        <w:t>sometimes</w:t>
      </w:r>
      <w:r>
        <w:t xml:space="preserve"> called </w:t>
      </w:r>
      <w:proofErr w:type="spellStart"/>
      <w:r>
        <w:t>hedgeable</w:t>
      </w:r>
      <w:proofErr w:type="spellEnd"/>
      <w:r>
        <w:t xml:space="preserve"> rates.</w:t>
      </w:r>
    </w:p>
    <w:sectPr w:rsidR="009A30FA" w:rsidSect="00D35C0A">
      <w:footerReference w:type="default" r:id="rId6"/>
      <w:pgSz w:w="12240" w:h="15840"/>
      <w:pgMar w:top="720" w:right="180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9CD13" w14:textId="77777777" w:rsidR="00014D23" w:rsidRDefault="00014D23" w:rsidP="00B611E9">
      <w:r>
        <w:separator/>
      </w:r>
    </w:p>
  </w:endnote>
  <w:endnote w:type="continuationSeparator" w:id="0">
    <w:p w14:paraId="59D0CDC2" w14:textId="77777777" w:rsidR="00014D23" w:rsidRDefault="00014D23" w:rsidP="00B6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C9B6" w14:textId="77777777" w:rsidR="009A30FA" w:rsidRDefault="009A30FA">
    <w:pPr>
      <w:pStyle w:val="Footer"/>
      <w:jc w:val="right"/>
    </w:pPr>
    <w:r>
      <w:fldChar w:fldCharType="begin"/>
    </w:r>
    <w:r>
      <w:instrText xml:space="preserve"> PAGE   \* MERGEFORMAT </w:instrText>
    </w:r>
    <w:r>
      <w:fldChar w:fldCharType="separate"/>
    </w:r>
    <w:r w:rsidR="00533780">
      <w:rPr>
        <w:noProof/>
      </w:rPr>
      <w:t>1</w:t>
    </w:r>
    <w:r>
      <w:fldChar w:fldCharType="end"/>
    </w:r>
  </w:p>
  <w:p w14:paraId="396227BB" w14:textId="77777777" w:rsidR="009A30FA" w:rsidRDefault="009A3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A978" w14:textId="77777777" w:rsidR="00014D23" w:rsidRDefault="00014D23" w:rsidP="00B611E9">
      <w:r>
        <w:separator/>
      </w:r>
    </w:p>
  </w:footnote>
  <w:footnote w:type="continuationSeparator" w:id="0">
    <w:p w14:paraId="3BDE5E75" w14:textId="77777777" w:rsidR="00014D23" w:rsidRDefault="00014D23" w:rsidP="00B61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61BB"/>
    <w:rsid w:val="00014D23"/>
    <w:rsid w:val="000461BB"/>
    <w:rsid w:val="000E0D7E"/>
    <w:rsid w:val="000E2312"/>
    <w:rsid w:val="0026303A"/>
    <w:rsid w:val="002C54F1"/>
    <w:rsid w:val="002D32F3"/>
    <w:rsid w:val="002E1799"/>
    <w:rsid w:val="002E5799"/>
    <w:rsid w:val="0033742D"/>
    <w:rsid w:val="003C0CA5"/>
    <w:rsid w:val="00445C9E"/>
    <w:rsid w:val="004B0912"/>
    <w:rsid w:val="00533780"/>
    <w:rsid w:val="006636D5"/>
    <w:rsid w:val="007A543F"/>
    <w:rsid w:val="007F5E8E"/>
    <w:rsid w:val="00893E37"/>
    <w:rsid w:val="00897A43"/>
    <w:rsid w:val="00942EE5"/>
    <w:rsid w:val="00997D13"/>
    <w:rsid w:val="009A30FA"/>
    <w:rsid w:val="009F0A39"/>
    <w:rsid w:val="00AE5354"/>
    <w:rsid w:val="00B611E9"/>
    <w:rsid w:val="00C06247"/>
    <w:rsid w:val="00D334E1"/>
    <w:rsid w:val="00D35C0A"/>
    <w:rsid w:val="00E3411C"/>
    <w:rsid w:val="00E52609"/>
    <w:rsid w:val="00FB2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B22E5E"/>
  <w15:docId w15:val="{6E8AB334-B666-472B-957D-0D5C46D0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09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B0912"/>
    <w:rPr>
      <w:sz w:val="24"/>
    </w:rPr>
  </w:style>
  <w:style w:type="character" w:customStyle="1" w:styleId="BodyTextChar">
    <w:name w:val="Body Text Char"/>
    <w:basedOn w:val="DefaultParagraphFont"/>
    <w:link w:val="BodyText"/>
    <w:uiPriority w:val="99"/>
    <w:semiHidden/>
    <w:rsid w:val="00285BE9"/>
  </w:style>
  <w:style w:type="table" w:styleId="TableGrid">
    <w:name w:val="Table Grid"/>
    <w:basedOn w:val="TableNormal"/>
    <w:uiPriority w:val="59"/>
    <w:rsid w:val="002E5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611E9"/>
    <w:pPr>
      <w:tabs>
        <w:tab w:val="center" w:pos="4680"/>
        <w:tab w:val="right" w:pos="9360"/>
      </w:tabs>
    </w:pPr>
  </w:style>
  <w:style w:type="character" w:customStyle="1" w:styleId="HeaderChar">
    <w:name w:val="Header Char"/>
    <w:link w:val="Header"/>
    <w:uiPriority w:val="99"/>
    <w:locked/>
    <w:rsid w:val="00B611E9"/>
    <w:rPr>
      <w:rFonts w:cs="Times New Roman"/>
    </w:rPr>
  </w:style>
  <w:style w:type="paragraph" w:styleId="Footer">
    <w:name w:val="footer"/>
    <w:basedOn w:val="Normal"/>
    <w:link w:val="FooterChar"/>
    <w:uiPriority w:val="99"/>
    <w:rsid w:val="00B611E9"/>
    <w:pPr>
      <w:tabs>
        <w:tab w:val="center" w:pos="4680"/>
        <w:tab w:val="right" w:pos="9360"/>
      </w:tabs>
    </w:pPr>
  </w:style>
  <w:style w:type="character" w:customStyle="1" w:styleId="FooterChar">
    <w:name w:val="Footer Char"/>
    <w:link w:val="Footer"/>
    <w:uiPriority w:val="99"/>
    <w:locked/>
    <w:rsid w:val="00B611E9"/>
    <w:rPr>
      <w:rFonts w:cs="Times New Roman"/>
    </w:rPr>
  </w:style>
  <w:style w:type="paragraph" w:styleId="BalloonText">
    <w:name w:val="Balloon Text"/>
    <w:basedOn w:val="Normal"/>
    <w:link w:val="BalloonTextChar"/>
    <w:uiPriority w:val="99"/>
    <w:rsid w:val="00897A43"/>
    <w:rPr>
      <w:rFonts w:ascii="Tahoma" w:hAnsi="Tahoma" w:cs="Tahoma"/>
      <w:sz w:val="16"/>
      <w:szCs w:val="16"/>
    </w:rPr>
  </w:style>
  <w:style w:type="character" w:customStyle="1" w:styleId="BalloonTextChar">
    <w:name w:val="Balloon Text Char"/>
    <w:link w:val="BalloonText"/>
    <w:uiPriority w:val="99"/>
    <w:locked/>
    <w:rsid w:val="00897A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Implied Forward Rates</vt:lpstr>
    </vt:vector>
  </TitlesOfParts>
  <Company>tulane</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Implied Forward Rates</dc:title>
  <dc:creator>William A. Reese, Jr.</dc:creator>
  <cp:lastModifiedBy>Reese, William A</cp:lastModifiedBy>
  <cp:revision>6</cp:revision>
  <cp:lastPrinted>2009-01-12T19:25:00Z</cp:lastPrinted>
  <dcterms:created xsi:type="dcterms:W3CDTF">2016-04-07T21:06:00Z</dcterms:created>
  <dcterms:modified xsi:type="dcterms:W3CDTF">2023-05-26T16:56:00Z</dcterms:modified>
</cp:coreProperties>
</file>